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DB" w:rsidRPr="00B12E0B" w:rsidRDefault="00B12E0B" w:rsidP="00B12E0B">
      <w:pPr>
        <w:jc w:val="right"/>
        <w:rPr>
          <w:rFonts w:ascii="Times New Roman" w:hAnsi="Times New Roman" w:cs="Times New Roman"/>
          <w:sz w:val="24"/>
          <w:szCs w:val="24"/>
        </w:rPr>
      </w:pPr>
      <w:r w:rsidRPr="00B12E0B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F6A45" w:rsidRDefault="00DF6A45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12E0B" w:rsidRPr="00B12E0B" w:rsidRDefault="00B12E0B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12E0B">
        <w:rPr>
          <w:rFonts w:ascii="Times New Roman" w:hAnsi="Times New Roman" w:cs="Times New Roman"/>
          <w:sz w:val="24"/>
          <w:szCs w:val="24"/>
        </w:rPr>
        <w:t>Основные параметры</w:t>
      </w:r>
    </w:p>
    <w:p w:rsidR="00B12E0B" w:rsidRPr="00B12E0B" w:rsidRDefault="00B12E0B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12E0B">
        <w:rPr>
          <w:rFonts w:ascii="Times New Roman" w:hAnsi="Times New Roman" w:cs="Times New Roman"/>
          <w:sz w:val="24"/>
          <w:szCs w:val="24"/>
        </w:rPr>
        <w:t xml:space="preserve">прогноза социально-экономического развития Петрозаводского городского округа </w:t>
      </w:r>
    </w:p>
    <w:p w:rsidR="00B12E0B" w:rsidRPr="007871CE" w:rsidRDefault="00B12E0B" w:rsidP="00B12E0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12E0B">
        <w:rPr>
          <w:rFonts w:ascii="Times New Roman" w:hAnsi="Times New Roman" w:cs="Times New Roman"/>
          <w:sz w:val="24"/>
          <w:szCs w:val="24"/>
        </w:rPr>
        <w:t>на 2025 год и на плановый период 2026 и 2027 годов</w:t>
      </w:r>
      <w:r w:rsidR="007871CE">
        <w:rPr>
          <w:rFonts w:ascii="Times New Roman" w:hAnsi="Times New Roman" w:cs="Times New Roman"/>
          <w:sz w:val="24"/>
          <w:szCs w:val="24"/>
        </w:rPr>
        <w:t xml:space="preserve"> </w:t>
      </w:r>
      <w:r w:rsidR="007871C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7871CE" w:rsidRDefault="007871CE" w:rsidP="00B12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4925" w:type="pct"/>
        <w:tblLook w:val="04A0" w:firstRow="1" w:lastRow="0" w:firstColumn="1" w:lastColumn="0" w:noHBand="0" w:noVBand="1"/>
      </w:tblPr>
      <w:tblGrid>
        <w:gridCol w:w="2259"/>
        <w:gridCol w:w="935"/>
        <w:gridCol w:w="911"/>
        <w:gridCol w:w="858"/>
        <w:gridCol w:w="931"/>
        <w:gridCol w:w="931"/>
        <w:gridCol w:w="943"/>
        <w:gridCol w:w="871"/>
        <w:gridCol w:w="931"/>
        <w:gridCol w:w="934"/>
        <w:gridCol w:w="943"/>
        <w:gridCol w:w="880"/>
        <w:gridCol w:w="931"/>
        <w:gridCol w:w="934"/>
        <w:gridCol w:w="922"/>
      </w:tblGrid>
      <w:tr w:rsidR="00B12E0B" w:rsidRPr="00B12E0B" w:rsidTr="00DF6A45">
        <w:trPr>
          <w:trHeight w:val="555"/>
        </w:trPr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30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(факт)</w:t>
            </w:r>
          </w:p>
        </w:tc>
        <w:tc>
          <w:tcPr>
            <w:tcW w:w="28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(оценка)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(прогноз)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(прогноз)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(прогноз)</w:t>
            </w:r>
          </w:p>
        </w:tc>
        <w:tc>
          <w:tcPr>
            <w:tcW w:w="121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(снижение) к предыдущему году</w:t>
            </w:r>
          </w:p>
        </w:tc>
        <w:tc>
          <w:tcPr>
            <w:tcW w:w="121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прироста (снижения) </w:t>
            </w: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 предыдущему году, %</w:t>
            </w:r>
          </w:p>
        </w:tc>
      </w:tr>
      <w:tr w:rsidR="00DF6A45" w:rsidRPr="00B12E0B" w:rsidTr="00DF6A45">
        <w:trPr>
          <w:trHeight w:val="491"/>
        </w:trPr>
        <w:tc>
          <w:tcPr>
            <w:tcW w:w="7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(оценка)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(прогноз)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(прогноз)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(прогноз)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(оценка)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(прогноз)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(прогноз)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(прогноз)</w:t>
            </w:r>
          </w:p>
        </w:tc>
      </w:tr>
      <w:tr w:rsidR="00DF6A45" w:rsidRPr="00B12E0B" w:rsidTr="00DF6A45">
        <w:trPr>
          <w:trHeight w:val="255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235 743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235 918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236 036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236 154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DF6A45" w:rsidRPr="00B12E0B" w:rsidTr="00DF6A45">
        <w:trPr>
          <w:trHeight w:val="255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потребительских цен (по Республике Карелия)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F6A45" w:rsidRPr="00B12E0B" w:rsidTr="00DF6A45">
        <w:trPr>
          <w:trHeight w:val="255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декабрь к декабрю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F6A45" w:rsidRPr="00B12E0B" w:rsidTr="00DF6A45">
        <w:trPr>
          <w:trHeight w:val="255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среднем за год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организаций всех видов деятельности (по крупным и средним организациям)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197 434,9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207 306,6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213 525,8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219 931,6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226 529,6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9 871,7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6 219,2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6 405,8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6 598,0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DF6A45" w:rsidRPr="00B12E0B" w:rsidTr="00DF6A45">
        <w:trPr>
          <w:trHeight w:val="72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 организациям)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55 457,7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57 842,4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59 866,9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61 064,2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62 590,8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2 384,7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2 024,5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1 197,3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1 526,6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</w:tr>
      <w:tr w:rsidR="00DF6A45" w:rsidRPr="00B12E0B" w:rsidTr="00DF6A45">
        <w:trPr>
          <w:trHeight w:val="255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Индекс производства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23 745,6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24 932,9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25 431,5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26 067,3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26 849,3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1 187,3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кв. м общей площади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 (по полному кругу организаций)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112 779,1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120 448,1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123 459,3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127 163,1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130 978,0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7 669,0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3 011,2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3 703,8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3 814,9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платных услуг населению (по крупным и средним организациям)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15 722,7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16 697,5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17 031,5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17 457,2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17 981,0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974,8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заработной платы с учетом необлагаемой его части (для расчета налога на доходы физических лиц)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89 313,9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96 834,2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104 871,4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112 212,4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13 773,8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7 520,3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8 037,2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7 341,0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Среднемесячная заработная плата 1-го работающего (по полному кругу организаций)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50 501,4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60 510,8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65 605,8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70 763,4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75 290,1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10 009,4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5 095,0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5 157,6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4 526,7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DF6A45" w:rsidRPr="00B12E0B" w:rsidTr="00DF6A45">
        <w:trPr>
          <w:trHeight w:val="255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занятых в экономике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DF6A45" w:rsidRPr="00B12E0B" w:rsidTr="00DF6A45">
        <w:trPr>
          <w:trHeight w:val="48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официально зарегистрированных безработных (среднегодовая)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-40,7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-4,3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-6,2</w:t>
            </w:r>
          </w:p>
        </w:tc>
      </w:tr>
      <w:tr w:rsidR="00DF6A45" w:rsidRPr="00B12E0B" w:rsidTr="00DF6A45">
        <w:trPr>
          <w:trHeight w:val="270"/>
        </w:trPr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B1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Уровень официально   зарегистрированной безработицы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0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2E0B" w:rsidRPr="00B12E0B" w:rsidRDefault="00B12E0B" w:rsidP="00DF6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E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12E0B" w:rsidRDefault="00B12E0B" w:rsidP="00B12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12E0B" w:rsidRPr="007871CE" w:rsidRDefault="007871CE" w:rsidP="007871CE">
      <w:pPr>
        <w:pStyle w:val="a3"/>
        <w:rPr>
          <w:rFonts w:ascii="Times New Roman" w:hAnsi="Times New Roman" w:cs="Times New Roman"/>
          <w:sz w:val="16"/>
          <w:szCs w:val="16"/>
        </w:rPr>
      </w:pPr>
      <w:r w:rsidRPr="007871CE">
        <w:rPr>
          <w:rFonts w:ascii="Times New Roman" w:hAnsi="Times New Roman" w:cs="Times New Roman"/>
          <w:sz w:val="16"/>
          <w:szCs w:val="16"/>
        </w:rPr>
        <w:t>1 – на основании данных, направленных в составе материалов к проекту решения о бюджете Петрозаводского городского округа на 2025 год и на плановый период 2026 и 2027 годов»</w:t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  <w:r w:rsidRPr="007871CE">
        <w:rPr>
          <w:rFonts w:ascii="Times New Roman" w:hAnsi="Times New Roman" w:cs="Times New Roman"/>
          <w:sz w:val="16"/>
          <w:szCs w:val="16"/>
        </w:rPr>
        <w:tab/>
      </w:r>
    </w:p>
    <w:sectPr w:rsidR="00B12E0B" w:rsidRPr="007871CE" w:rsidSect="00B12E0B">
      <w:pgSz w:w="16838" w:h="11906" w:orient="landscape"/>
      <w:pgMar w:top="1134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A3"/>
    <w:rsid w:val="004D02A3"/>
    <w:rsid w:val="007871CE"/>
    <w:rsid w:val="00815149"/>
    <w:rsid w:val="008755DB"/>
    <w:rsid w:val="00B12E0B"/>
    <w:rsid w:val="00D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B2ED9-084E-4D6D-8BC0-225FE212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2024-11-13T04:55:00Z</dcterms:created>
  <dcterms:modified xsi:type="dcterms:W3CDTF">2024-11-13T05:14:00Z</dcterms:modified>
</cp:coreProperties>
</file>